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113" w:rsidRPr="007E5889" w:rsidRDefault="007E5889" w:rsidP="007E5889">
      <w:pPr>
        <w:jc w:val="center"/>
        <w:rPr>
          <w:rFonts w:ascii="Arial" w:hAnsi="Arial" w:cs="Arial"/>
        </w:rPr>
      </w:pPr>
      <w:r w:rsidRPr="007E5889">
        <w:rPr>
          <w:rFonts w:ascii="Arial" w:hAnsi="Arial" w:cs="Arial"/>
          <w:b/>
          <w:u w:val="single"/>
        </w:rPr>
        <w:t>ABLL Secretary Cheat Sheet</w:t>
      </w:r>
    </w:p>
    <w:p w:rsidR="00195ABB" w:rsidRDefault="00195ABB" w:rsidP="00874440">
      <w:pPr>
        <w:pStyle w:val="ListParagraph"/>
        <w:numPr>
          <w:ilvl w:val="0"/>
          <w:numId w:val="1"/>
        </w:numPr>
        <w:rPr>
          <w:rFonts w:ascii="Arial" w:hAnsi="Arial" w:cs="Arial"/>
        </w:rPr>
      </w:pPr>
      <w:r>
        <w:rPr>
          <w:rFonts w:ascii="Arial" w:hAnsi="Arial" w:cs="Arial"/>
        </w:rPr>
        <w:t>Secretary of the Commonwealth of Massachusetts:</w:t>
      </w:r>
    </w:p>
    <w:tbl>
      <w:tblPr>
        <w:tblW w:w="5000" w:type="pct"/>
        <w:tblCellMar>
          <w:left w:w="0" w:type="dxa"/>
          <w:right w:w="0" w:type="dxa"/>
        </w:tblCellMar>
        <w:tblLook w:val="04A0" w:firstRow="1" w:lastRow="0" w:firstColumn="1" w:lastColumn="0" w:noHBand="0" w:noVBand="1"/>
      </w:tblPr>
      <w:tblGrid>
        <w:gridCol w:w="6397"/>
        <w:gridCol w:w="1265"/>
        <w:gridCol w:w="935"/>
        <w:gridCol w:w="883"/>
      </w:tblGrid>
      <w:tr w:rsidR="00875BF0" w:rsidRPr="00875BF0" w:rsidTr="00875BF0">
        <w:tc>
          <w:tcPr>
            <w:tcW w:w="3250" w:type="pct"/>
            <w:tcBorders>
              <w:top w:val="single" w:sz="8" w:space="0" w:color="31658A"/>
              <w:left w:val="single" w:sz="8" w:space="0" w:color="31658A"/>
              <w:bottom w:val="single" w:sz="8" w:space="0" w:color="31658A"/>
              <w:right w:val="single" w:sz="8" w:space="0" w:color="31658A"/>
            </w:tcBorders>
            <w:shd w:val="clear" w:color="auto" w:fill="31658A"/>
            <w:tcMar>
              <w:top w:w="60" w:type="dxa"/>
              <w:left w:w="60" w:type="dxa"/>
              <w:bottom w:w="60" w:type="dxa"/>
              <w:right w:w="60" w:type="dxa"/>
            </w:tcMar>
            <w:vAlign w:val="center"/>
            <w:hideMark/>
          </w:tcPr>
          <w:p w:rsidR="00875BF0" w:rsidRPr="00875BF0" w:rsidRDefault="00C833F5" w:rsidP="00875BF0">
            <w:pPr>
              <w:spacing w:after="0" w:line="240" w:lineRule="auto"/>
              <w:rPr>
                <w:rFonts w:ascii="Arial" w:eastAsia="Calibri" w:hAnsi="Arial" w:cs="Arial"/>
                <w:b/>
                <w:bCs/>
                <w:color w:val="FFFFFF"/>
                <w:sz w:val="20"/>
                <w:szCs w:val="20"/>
              </w:rPr>
            </w:pPr>
            <w:hyperlink r:id="rId6" w:history="1">
              <w:r w:rsidR="00875BF0" w:rsidRPr="00875BF0">
                <w:rPr>
                  <w:rFonts w:ascii="Arial" w:eastAsia="Calibri" w:hAnsi="Arial" w:cs="Arial"/>
                  <w:b/>
                  <w:bCs/>
                  <w:color w:val="FFFFFF"/>
                  <w:sz w:val="20"/>
                  <w:szCs w:val="20"/>
                  <w:u w:val="single"/>
                </w:rPr>
                <w:t>Name of entity</w:t>
              </w:r>
            </w:hyperlink>
          </w:p>
        </w:tc>
        <w:tc>
          <w:tcPr>
            <w:tcW w:w="500" w:type="pct"/>
            <w:tcBorders>
              <w:top w:val="single" w:sz="8" w:space="0" w:color="31658A"/>
              <w:left w:val="nil"/>
              <w:bottom w:val="single" w:sz="8" w:space="0" w:color="31658A"/>
              <w:right w:val="single" w:sz="8" w:space="0" w:color="31658A"/>
            </w:tcBorders>
            <w:shd w:val="clear" w:color="auto" w:fill="31658A"/>
            <w:tcMar>
              <w:top w:w="60" w:type="dxa"/>
              <w:left w:w="60" w:type="dxa"/>
              <w:bottom w:w="60" w:type="dxa"/>
              <w:right w:w="60" w:type="dxa"/>
            </w:tcMar>
            <w:vAlign w:val="center"/>
            <w:hideMark/>
          </w:tcPr>
          <w:p w:rsidR="00875BF0" w:rsidRPr="00875BF0" w:rsidRDefault="00C833F5" w:rsidP="00875BF0">
            <w:pPr>
              <w:spacing w:after="0" w:line="240" w:lineRule="auto"/>
              <w:rPr>
                <w:rFonts w:ascii="Arial" w:eastAsia="Calibri" w:hAnsi="Arial" w:cs="Arial"/>
                <w:b/>
                <w:bCs/>
                <w:color w:val="FFFFFF"/>
                <w:sz w:val="20"/>
                <w:szCs w:val="20"/>
              </w:rPr>
            </w:pPr>
            <w:hyperlink r:id="rId7" w:history="1">
              <w:r w:rsidR="00875BF0" w:rsidRPr="00875BF0">
                <w:rPr>
                  <w:rFonts w:ascii="Arial" w:eastAsia="Calibri" w:hAnsi="Arial" w:cs="Arial"/>
                  <w:b/>
                  <w:bCs/>
                  <w:color w:val="FFFFFF"/>
                  <w:sz w:val="20"/>
                  <w:szCs w:val="20"/>
                  <w:u w:val="single"/>
                </w:rPr>
                <w:t>FEIN</w:t>
              </w:r>
            </w:hyperlink>
          </w:p>
        </w:tc>
        <w:tc>
          <w:tcPr>
            <w:tcW w:w="500" w:type="pct"/>
            <w:tcBorders>
              <w:top w:val="single" w:sz="8" w:space="0" w:color="31658A"/>
              <w:left w:val="nil"/>
              <w:bottom w:val="single" w:sz="8" w:space="0" w:color="31658A"/>
              <w:right w:val="single" w:sz="8" w:space="0" w:color="31658A"/>
            </w:tcBorders>
            <w:shd w:val="clear" w:color="auto" w:fill="31658A"/>
            <w:tcMar>
              <w:top w:w="60" w:type="dxa"/>
              <w:left w:w="60" w:type="dxa"/>
              <w:bottom w:w="60" w:type="dxa"/>
              <w:right w:w="60" w:type="dxa"/>
            </w:tcMar>
            <w:vAlign w:val="center"/>
            <w:hideMark/>
          </w:tcPr>
          <w:p w:rsidR="00875BF0" w:rsidRPr="00875BF0" w:rsidRDefault="00C833F5" w:rsidP="00875BF0">
            <w:pPr>
              <w:spacing w:after="0" w:line="240" w:lineRule="auto"/>
              <w:rPr>
                <w:rFonts w:ascii="Arial" w:eastAsia="Calibri" w:hAnsi="Arial" w:cs="Arial"/>
                <w:b/>
                <w:bCs/>
                <w:color w:val="FFFFFF"/>
                <w:sz w:val="20"/>
                <w:szCs w:val="20"/>
              </w:rPr>
            </w:pPr>
            <w:hyperlink r:id="rId8" w:history="1">
              <w:r w:rsidR="00875BF0" w:rsidRPr="00875BF0">
                <w:rPr>
                  <w:rFonts w:ascii="Arial" w:eastAsia="Calibri" w:hAnsi="Arial" w:cs="Arial"/>
                  <w:b/>
                  <w:bCs/>
                  <w:color w:val="FFFFFF"/>
                  <w:sz w:val="20"/>
                  <w:szCs w:val="20"/>
                  <w:u w:val="single"/>
                </w:rPr>
                <w:t>CID</w:t>
              </w:r>
            </w:hyperlink>
          </w:p>
        </w:tc>
        <w:tc>
          <w:tcPr>
            <w:tcW w:w="500" w:type="pct"/>
            <w:tcBorders>
              <w:top w:val="single" w:sz="8" w:space="0" w:color="31658A"/>
              <w:left w:val="nil"/>
              <w:bottom w:val="single" w:sz="8" w:space="0" w:color="31658A"/>
              <w:right w:val="single" w:sz="8" w:space="0" w:color="31658A"/>
            </w:tcBorders>
            <w:shd w:val="clear" w:color="auto" w:fill="31658A"/>
            <w:tcMar>
              <w:top w:w="60" w:type="dxa"/>
              <w:left w:w="60" w:type="dxa"/>
              <w:bottom w:w="60" w:type="dxa"/>
              <w:right w:w="60" w:type="dxa"/>
            </w:tcMar>
            <w:vAlign w:val="center"/>
            <w:hideMark/>
          </w:tcPr>
          <w:p w:rsidR="00875BF0" w:rsidRPr="00875BF0" w:rsidRDefault="00C833F5" w:rsidP="00875BF0">
            <w:pPr>
              <w:spacing w:after="0" w:line="240" w:lineRule="auto"/>
              <w:rPr>
                <w:rFonts w:ascii="Arial" w:eastAsia="Calibri" w:hAnsi="Arial" w:cs="Arial"/>
                <w:b/>
                <w:bCs/>
                <w:color w:val="FFFFFF"/>
                <w:sz w:val="20"/>
                <w:szCs w:val="20"/>
              </w:rPr>
            </w:pPr>
            <w:hyperlink r:id="rId9" w:history="1">
              <w:r w:rsidR="00875BF0" w:rsidRPr="00875BF0">
                <w:rPr>
                  <w:rFonts w:ascii="Arial" w:eastAsia="Calibri" w:hAnsi="Arial" w:cs="Arial"/>
                  <w:b/>
                  <w:bCs/>
                  <w:color w:val="FFFFFF"/>
                  <w:sz w:val="20"/>
                  <w:szCs w:val="20"/>
                  <w:u w:val="single"/>
                </w:rPr>
                <w:t>PIN</w:t>
              </w:r>
            </w:hyperlink>
          </w:p>
        </w:tc>
      </w:tr>
      <w:tr w:rsidR="00875BF0" w:rsidRPr="00875BF0" w:rsidTr="00875BF0">
        <w:tc>
          <w:tcPr>
            <w:tcW w:w="0" w:type="auto"/>
            <w:tcBorders>
              <w:top w:val="nil"/>
              <w:left w:val="single" w:sz="8" w:space="0" w:color="808080"/>
              <w:bottom w:val="single" w:sz="8" w:space="0" w:color="808080"/>
              <w:right w:val="nil"/>
            </w:tcBorders>
            <w:shd w:val="clear" w:color="auto" w:fill="FFFFFF"/>
            <w:tcMar>
              <w:top w:w="60" w:type="dxa"/>
              <w:left w:w="60" w:type="dxa"/>
              <w:bottom w:w="60" w:type="dxa"/>
              <w:right w:w="60" w:type="dxa"/>
            </w:tcMar>
            <w:hideMark/>
          </w:tcPr>
          <w:p w:rsidR="00875BF0" w:rsidRPr="00875BF0" w:rsidRDefault="00875BF0" w:rsidP="00875BF0">
            <w:pPr>
              <w:spacing w:after="0" w:line="240" w:lineRule="auto"/>
              <w:rPr>
                <w:rFonts w:ascii="Verdana" w:eastAsia="Calibri" w:hAnsi="Verdana" w:cs="Times New Roman"/>
                <w:color w:val="000000"/>
                <w:sz w:val="20"/>
                <w:szCs w:val="20"/>
              </w:rPr>
            </w:pPr>
            <w:r w:rsidRPr="00875BF0">
              <w:rPr>
                <w:rFonts w:ascii="Verdana" w:eastAsia="Calibri" w:hAnsi="Verdana" w:cs="Times New Roman"/>
                <w:color w:val="000000"/>
                <w:sz w:val="20"/>
                <w:szCs w:val="20"/>
              </w:rPr>
              <w:t>ASSOCIATION OF BOSTON LAW LIBRARIANS, INC.</w:t>
            </w:r>
          </w:p>
        </w:tc>
        <w:tc>
          <w:tcPr>
            <w:tcW w:w="0" w:type="auto"/>
            <w:tcBorders>
              <w:top w:val="nil"/>
              <w:left w:val="nil"/>
              <w:bottom w:val="single" w:sz="8" w:space="0" w:color="808080"/>
              <w:right w:val="nil"/>
            </w:tcBorders>
            <w:shd w:val="clear" w:color="auto" w:fill="FFFFFF"/>
            <w:tcMar>
              <w:top w:w="60" w:type="dxa"/>
              <w:left w:w="60" w:type="dxa"/>
              <w:bottom w:w="60" w:type="dxa"/>
              <w:right w:w="60" w:type="dxa"/>
            </w:tcMar>
            <w:hideMark/>
          </w:tcPr>
          <w:p w:rsidR="00875BF0" w:rsidRPr="00875BF0" w:rsidRDefault="00875BF0" w:rsidP="00875BF0">
            <w:pPr>
              <w:spacing w:after="0" w:line="240" w:lineRule="auto"/>
              <w:rPr>
                <w:rFonts w:ascii="Verdana" w:eastAsia="Calibri" w:hAnsi="Verdana" w:cs="Times New Roman"/>
                <w:color w:val="000000"/>
                <w:sz w:val="20"/>
                <w:szCs w:val="20"/>
              </w:rPr>
            </w:pPr>
            <w:r w:rsidRPr="00875BF0">
              <w:rPr>
                <w:rFonts w:ascii="Verdana" w:eastAsia="Calibri" w:hAnsi="Verdana" w:cs="Times New Roman"/>
                <w:color w:val="000000"/>
                <w:sz w:val="20"/>
                <w:szCs w:val="20"/>
              </w:rPr>
              <w:t>000110141</w:t>
            </w:r>
          </w:p>
        </w:tc>
        <w:tc>
          <w:tcPr>
            <w:tcW w:w="0" w:type="auto"/>
            <w:tcBorders>
              <w:top w:val="nil"/>
              <w:left w:val="nil"/>
              <w:bottom w:val="single" w:sz="8" w:space="0" w:color="808080"/>
              <w:right w:val="nil"/>
            </w:tcBorders>
            <w:shd w:val="clear" w:color="auto" w:fill="FFFFFF"/>
            <w:tcMar>
              <w:top w:w="60" w:type="dxa"/>
              <w:left w:w="60" w:type="dxa"/>
              <w:bottom w:w="60" w:type="dxa"/>
              <w:right w:w="60" w:type="dxa"/>
            </w:tcMar>
            <w:hideMark/>
          </w:tcPr>
          <w:p w:rsidR="00875BF0" w:rsidRPr="00875BF0" w:rsidRDefault="00875BF0" w:rsidP="00875BF0">
            <w:pPr>
              <w:spacing w:after="0" w:line="240" w:lineRule="auto"/>
              <w:rPr>
                <w:rFonts w:ascii="Verdana" w:eastAsia="Calibri" w:hAnsi="Verdana" w:cs="Times New Roman"/>
                <w:color w:val="000000"/>
                <w:sz w:val="20"/>
                <w:szCs w:val="20"/>
              </w:rPr>
            </w:pPr>
            <w:r w:rsidRPr="00875BF0">
              <w:rPr>
                <w:rFonts w:ascii="Verdana" w:eastAsia="Calibri" w:hAnsi="Verdana" w:cs="Times New Roman"/>
                <w:color w:val="000000"/>
                <w:sz w:val="20"/>
                <w:szCs w:val="20"/>
              </w:rPr>
              <w:t>FK9MK3</w:t>
            </w:r>
          </w:p>
        </w:tc>
        <w:tc>
          <w:tcPr>
            <w:tcW w:w="0" w:type="auto"/>
            <w:tcBorders>
              <w:top w:val="nil"/>
              <w:left w:val="nil"/>
              <w:bottom w:val="single" w:sz="8" w:space="0" w:color="808080"/>
              <w:right w:val="single" w:sz="8" w:space="0" w:color="808080"/>
            </w:tcBorders>
            <w:shd w:val="clear" w:color="auto" w:fill="FFFFFF"/>
            <w:tcMar>
              <w:top w:w="60" w:type="dxa"/>
              <w:left w:w="60" w:type="dxa"/>
              <w:bottom w:w="60" w:type="dxa"/>
              <w:right w:w="60" w:type="dxa"/>
            </w:tcMar>
            <w:hideMark/>
          </w:tcPr>
          <w:p w:rsidR="00875BF0" w:rsidRPr="00875BF0" w:rsidRDefault="00875BF0" w:rsidP="00875BF0">
            <w:pPr>
              <w:spacing w:after="0" w:line="240" w:lineRule="auto"/>
              <w:rPr>
                <w:rFonts w:ascii="Verdana" w:eastAsia="Calibri" w:hAnsi="Verdana" w:cs="Times New Roman"/>
                <w:color w:val="000000"/>
                <w:sz w:val="20"/>
                <w:szCs w:val="20"/>
              </w:rPr>
            </w:pPr>
            <w:r w:rsidRPr="00875BF0">
              <w:rPr>
                <w:rFonts w:ascii="Verdana" w:eastAsia="Calibri" w:hAnsi="Verdana" w:cs="Times New Roman"/>
                <w:color w:val="000000"/>
                <w:sz w:val="20"/>
                <w:szCs w:val="20"/>
              </w:rPr>
              <w:t>6955</w:t>
            </w:r>
          </w:p>
        </w:tc>
      </w:tr>
    </w:tbl>
    <w:p w:rsidR="00875BF0" w:rsidRDefault="00875BF0" w:rsidP="00195ABB">
      <w:pPr>
        <w:pStyle w:val="ListParagraph"/>
        <w:numPr>
          <w:ilvl w:val="1"/>
          <w:numId w:val="1"/>
        </w:numPr>
        <w:rPr>
          <w:rFonts w:ascii="Arial" w:hAnsi="Arial" w:cs="Arial"/>
        </w:rPr>
      </w:pPr>
    </w:p>
    <w:p w:rsidR="00874440" w:rsidRPr="00874440" w:rsidRDefault="00874440" w:rsidP="00195ABB">
      <w:pPr>
        <w:pStyle w:val="ListParagraph"/>
        <w:numPr>
          <w:ilvl w:val="1"/>
          <w:numId w:val="1"/>
        </w:numPr>
        <w:rPr>
          <w:rFonts w:ascii="Arial" w:hAnsi="Arial" w:cs="Arial"/>
        </w:rPr>
      </w:pPr>
      <w:r>
        <w:rPr>
          <w:rFonts w:ascii="Arial" w:hAnsi="Arial" w:cs="Arial"/>
        </w:rPr>
        <w:t xml:space="preserve">ABLL’s </w:t>
      </w:r>
      <w:r w:rsidRPr="00874440">
        <w:rPr>
          <w:rFonts w:ascii="Arial" w:hAnsi="Arial" w:cs="Arial"/>
        </w:rPr>
        <w:t xml:space="preserve">Secretary of </w:t>
      </w:r>
      <w:r w:rsidR="00195ABB">
        <w:rPr>
          <w:rFonts w:ascii="Arial" w:hAnsi="Arial" w:cs="Arial"/>
        </w:rPr>
        <w:t>Massachusetts</w:t>
      </w:r>
      <w:r w:rsidRPr="00874440">
        <w:rPr>
          <w:rFonts w:ascii="Arial" w:hAnsi="Arial" w:cs="Arial"/>
        </w:rPr>
        <w:t xml:space="preserve"> Identification Number: 000110141</w:t>
      </w:r>
    </w:p>
    <w:p w:rsidR="007E5889" w:rsidRPr="007E5889" w:rsidRDefault="007E5889" w:rsidP="00195ABB">
      <w:pPr>
        <w:pStyle w:val="ListParagraph"/>
        <w:numPr>
          <w:ilvl w:val="1"/>
          <w:numId w:val="1"/>
        </w:numPr>
        <w:rPr>
          <w:rFonts w:ascii="Arial" w:hAnsi="Arial" w:cs="Arial"/>
        </w:rPr>
      </w:pPr>
      <w:r w:rsidRPr="007E5889">
        <w:rPr>
          <w:rFonts w:ascii="Arial" w:hAnsi="Arial" w:cs="Arial"/>
        </w:rPr>
        <w:t xml:space="preserve">ABLL’s Annual Report with the Secretary of </w:t>
      </w:r>
      <w:r w:rsidR="00195ABB" w:rsidRPr="00195ABB">
        <w:rPr>
          <w:rFonts w:ascii="Arial" w:hAnsi="Arial" w:cs="Arial"/>
        </w:rPr>
        <w:t xml:space="preserve">Massachusetts </w:t>
      </w:r>
      <w:r>
        <w:rPr>
          <w:rFonts w:ascii="Arial" w:hAnsi="Arial" w:cs="Arial"/>
        </w:rPr>
        <w:t xml:space="preserve">– June </w:t>
      </w:r>
    </w:p>
    <w:p w:rsidR="007E5889" w:rsidRPr="007E5889" w:rsidRDefault="007E5889" w:rsidP="00195ABB">
      <w:pPr>
        <w:pStyle w:val="ListParagraph"/>
        <w:numPr>
          <w:ilvl w:val="2"/>
          <w:numId w:val="1"/>
        </w:numPr>
        <w:rPr>
          <w:rFonts w:ascii="Arial" w:hAnsi="Arial" w:cs="Arial"/>
        </w:rPr>
      </w:pPr>
      <w:r w:rsidRPr="007E5889">
        <w:rPr>
          <w:rFonts w:ascii="Arial" w:hAnsi="Arial" w:cs="Arial"/>
        </w:rPr>
        <w:t xml:space="preserve">Find the form here: </w:t>
      </w:r>
      <w:hyperlink r:id="rId10" w:history="1">
        <w:r w:rsidRPr="007E5889">
          <w:rPr>
            <w:rStyle w:val="Hyperlink"/>
            <w:rFonts w:ascii="Arial" w:hAnsi="Arial" w:cs="Arial"/>
          </w:rPr>
          <w:t>http://www.sec.state.ma.us/cor/corpweb/cornp/npfrm.htm</w:t>
        </w:r>
      </w:hyperlink>
    </w:p>
    <w:p w:rsidR="007E5889" w:rsidRDefault="007E5889" w:rsidP="00195ABB">
      <w:pPr>
        <w:pStyle w:val="ListParagraph"/>
        <w:numPr>
          <w:ilvl w:val="2"/>
          <w:numId w:val="1"/>
        </w:numPr>
        <w:rPr>
          <w:rFonts w:ascii="Arial" w:hAnsi="Arial" w:cs="Arial"/>
        </w:rPr>
      </w:pPr>
      <w:r>
        <w:rPr>
          <w:rFonts w:ascii="Arial" w:hAnsi="Arial" w:cs="Arial"/>
        </w:rPr>
        <w:t>Fill it out and request a check from the Treasurer</w:t>
      </w:r>
    </w:p>
    <w:p w:rsidR="007E5889" w:rsidRDefault="007E5889" w:rsidP="00195ABB">
      <w:pPr>
        <w:pStyle w:val="ListParagraph"/>
        <w:numPr>
          <w:ilvl w:val="3"/>
          <w:numId w:val="1"/>
        </w:numPr>
        <w:rPr>
          <w:rFonts w:ascii="Arial" w:hAnsi="Arial" w:cs="Arial"/>
        </w:rPr>
      </w:pPr>
      <w:r>
        <w:rPr>
          <w:rFonts w:ascii="Arial" w:hAnsi="Arial" w:cs="Arial"/>
        </w:rPr>
        <w:t xml:space="preserve">It should be filled out for the coming year so it can only be done after the business meeting with elections that usually occurs in May. It must be filed before November. </w:t>
      </w:r>
    </w:p>
    <w:p w:rsidR="007E5889" w:rsidRDefault="007E5889" w:rsidP="00195ABB">
      <w:pPr>
        <w:pStyle w:val="ListParagraph"/>
        <w:numPr>
          <w:ilvl w:val="2"/>
          <w:numId w:val="1"/>
        </w:numPr>
        <w:rPr>
          <w:rFonts w:ascii="Arial" w:hAnsi="Arial" w:cs="Arial"/>
        </w:rPr>
      </w:pPr>
      <w:r>
        <w:rPr>
          <w:rFonts w:ascii="Arial" w:hAnsi="Arial" w:cs="Arial"/>
        </w:rPr>
        <w:t xml:space="preserve">ABLL’s address should change with the </w:t>
      </w:r>
      <w:r w:rsidR="00195ABB">
        <w:rPr>
          <w:rFonts w:ascii="Arial" w:hAnsi="Arial" w:cs="Arial"/>
        </w:rPr>
        <w:t>Secretary</w:t>
      </w:r>
      <w:r>
        <w:rPr>
          <w:rFonts w:ascii="Arial" w:hAnsi="Arial" w:cs="Arial"/>
        </w:rPr>
        <w:t xml:space="preserve">. </w:t>
      </w:r>
    </w:p>
    <w:p w:rsidR="00B072C3" w:rsidRDefault="00B072C3" w:rsidP="00195ABB">
      <w:pPr>
        <w:pStyle w:val="ListParagraph"/>
        <w:numPr>
          <w:ilvl w:val="1"/>
          <w:numId w:val="1"/>
        </w:numPr>
        <w:rPr>
          <w:rFonts w:ascii="Arial" w:hAnsi="Arial" w:cs="Arial"/>
        </w:rPr>
      </w:pPr>
      <w:r>
        <w:rPr>
          <w:rFonts w:ascii="Arial" w:hAnsi="Arial" w:cs="Arial"/>
        </w:rPr>
        <w:t>ABLL’s Certificate of Change of Directors or Officers of Non-Profit Corporations – June</w:t>
      </w:r>
    </w:p>
    <w:p w:rsidR="00B072C3" w:rsidRPr="007E5889" w:rsidRDefault="00B072C3" w:rsidP="00195ABB">
      <w:pPr>
        <w:pStyle w:val="ListParagraph"/>
        <w:numPr>
          <w:ilvl w:val="2"/>
          <w:numId w:val="1"/>
        </w:numPr>
        <w:rPr>
          <w:rFonts w:ascii="Arial" w:hAnsi="Arial" w:cs="Arial"/>
        </w:rPr>
      </w:pPr>
      <w:r w:rsidRPr="007E5889">
        <w:rPr>
          <w:rFonts w:ascii="Arial" w:hAnsi="Arial" w:cs="Arial"/>
        </w:rPr>
        <w:t xml:space="preserve">Find the form here: </w:t>
      </w:r>
      <w:hyperlink r:id="rId11" w:history="1">
        <w:r w:rsidRPr="007E5889">
          <w:rPr>
            <w:rStyle w:val="Hyperlink"/>
            <w:rFonts w:ascii="Arial" w:hAnsi="Arial" w:cs="Arial"/>
          </w:rPr>
          <w:t>http://www.sec.state.ma.us/cor/corpweb/cornp/npfrm.htm</w:t>
        </w:r>
      </w:hyperlink>
    </w:p>
    <w:p w:rsidR="00B072C3" w:rsidRPr="00B072C3" w:rsidRDefault="00B072C3" w:rsidP="00195ABB">
      <w:pPr>
        <w:pStyle w:val="ListParagraph"/>
        <w:numPr>
          <w:ilvl w:val="2"/>
          <w:numId w:val="1"/>
        </w:numPr>
        <w:rPr>
          <w:rFonts w:ascii="Arial" w:hAnsi="Arial" w:cs="Arial"/>
        </w:rPr>
      </w:pPr>
      <w:r w:rsidRPr="00B072C3">
        <w:rPr>
          <w:rFonts w:ascii="Arial" w:hAnsi="Arial" w:cs="Arial"/>
        </w:rPr>
        <w:t>Fill it out for the coming year so it can only be done after the business meeting with elections that usually occurs in May</w:t>
      </w:r>
      <w:r>
        <w:rPr>
          <w:rFonts w:ascii="Arial" w:hAnsi="Arial" w:cs="Arial"/>
        </w:rPr>
        <w:t xml:space="preserve"> (there are no filing fees for this one)</w:t>
      </w:r>
    </w:p>
    <w:p w:rsidR="00B072C3" w:rsidRDefault="00B072C3" w:rsidP="00195ABB">
      <w:pPr>
        <w:pStyle w:val="ListParagraph"/>
        <w:numPr>
          <w:ilvl w:val="1"/>
          <w:numId w:val="1"/>
        </w:numPr>
        <w:rPr>
          <w:rFonts w:ascii="Arial" w:hAnsi="Arial" w:cs="Arial"/>
        </w:rPr>
      </w:pPr>
      <w:r>
        <w:rPr>
          <w:rFonts w:ascii="Arial" w:hAnsi="Arial" w:cs="Arial"/>
        </w:rPr>
        <w:t>ABLL’s Certificate of Change of Principal Office – June, every other year</w:t>
      </w:r>
    </w:p>
    <w:p w:rsidR="00B072C3" w:rsidRDefault="00B072C3" w:rsidP="00195ABB">
      <w:pPr>
        <w:pStyle w:val="ListParagraph"/>
        <w:numPr>
          <w:ilvl w:val="2"/>
          <w:numId w:val="1"/>
        </w:numPr>
        <w:rPr>
          <w:rFonts w:ascii="Arial" w:hAnsi="Arial" w:cs="Arial"/>
        </w:rPr>
      </w:pPr>
      <w:r>
        <w:rPr>
          <w:rFonts w:ascii="Arial" w:hAnsi="Arial" w:cs="Arial"/>
        </w:rPr>
        <w:t>This should be upda</w:t>
      </w:r>
      <w:bookmarkStart w:id="0" w:name="_GoBack"/>
      <w:bookmarkEnd w:id="0"/>
      <w:r>
        <w:rPr>
          <w:rFonts w:ascii="Arial" w:hAnsi="Arial" w:cs="Arial"/>
        </w:rPr>
        <w:t xml:space="preserve">ted after the election of a new </w:t>
      </w:r>
      <w:r w:rsidR="00C833F5">
        <w:rPr>
          <w:rFonts w:ascii="Arial" w:hAnsi="Arial" w:cs="Arial"/>
        </w:rPr>
        <w:t>Secretary</w:t>
      </w:r>
    </w:p>
    <w:p w:rsidR="00B072C3" w:rsidRDefault="00B072C3" w:rsidP="00195ABB">
      <w:pPr>
        <w:pStyle w:val="ListParagraph"/>
        <w:numPr>
          <w:ilvl w:val="2"/>
          <w:numId w:val="1"/>
        </w:numPr>
        <w:rPr>
          <w:rFonts w:ascii="Arial" w:hAnsi="Arial" w:cs="Arial"/>
        </w:rPr>
      </w:pPr>
      <w:r>
        <w:rPr>
          <w:rFonts w:ascii="Arial" w:hAnsi="Arial" w:cs="Arial"/>
        </w:rPr>
        <w:t>Fill out and request a check from the Treasurer</w:t>
      </w:r>
    </w:p>
    <w:p w:rsidR="009B01AE" w:rsidRDefault="009B01AE" w:rsidP="00195ABB">
      <w:pPr>
        <w:pStyle w:val="ListParagraph"/>
        <w:numPr>
          <w:ilvl w:val="1"/>
          <w:numId w:val="1"/>
        </w:numPr>
        <w:rPr>
          <w:rFonts w:ascii="Arial" w:hAnsi="Arial" w:cs="Arial"/>
        </w:rPr>
      </w:pPr>
      <w:r>
        <w:rPr>
          <w:rFonts w:ascii="Arial" w:hAnsi="Arial" w:cs="Arial"/>
        </w:rPr>
        <w:t>In the past, we have filed Articles of Amendments and Change of Fiscal Year forms</w:t>
      </w:r>
      <w:r w:rsidR="00BC420C">
        <w:rPr>
          <w:rFonts w:ascii="Arial" w:hAnsi="Arial" w:cs="Arial"/>
        </w:rPr>
        <w:t xml:space="preserve"> when necessary</w:t>
      </w:r>
    </w:p>
    <w:p w:rsidR="00127782" w:rsidRDefault="00127782" w:rsidP="009B01AE">
      <w:pPr>
        <w:pStyle w:val="ListParagraph"/>
        <w:numPr>
          <w:ilvl w:val="0"/>
          <w:numId w:val="1"/>
        </w:numPr>
        <w:rPr>
          <w:rFonts w:ascii="Arial" w:hAnsi="Arial" w:cs="Arial"/>
        </w:rPr>
      </w:pPr>
      <w:r>
        <w:rPr>
          <w:rFonts w:ascii="Arial" w:hAnsi="Arial" w:cs="Arial"/>
        </w:rPr>
        <w:t>Each year, the following needs to be collected from the officers and put into the archives:</w:t>
      </w:r>
    </w:p>
    <w:p w:rsidR="00127782" w:rsidRDefault="00127782" w:rsidP="00127782">
      <w:pPr>
        <w:pStyle w:val="ListParagraph"/>
        <w:numPr>
          <w:ilvl w:val="1"/>
          <w:numId w:val="1"/>
        </w:numPr>
      </w:pPr>
      <w:r>
        <w:t>By-Laws and Articles of Organization</w:t>
      </w:r>
    </w:p>
    <w:p w:rsidR="00127782" w:rsidRDefault="00127782" w:rsidP="00127782">
      <w:pPr>
        <w:pStyle w:val="ListParagraph"/>
        <w:numPr>
          <w:ilvl w:val="1"/>
          <w:numId w:val="1"/>
        </w:numPr>
      </w:pPr>
      <w:r>
        <w:t>Report of Charity Donations</w:t>
      </w:r>
    </w:p>
    <w:p w:rsidR="00127782" w:rsidRDefault="00127782" w:rsidP="00127782">
      <w:pPr>
        <w:pStyle w:val="ListParagraph"/>
        <w:numPr>
          <w:ilvl w:val="1"/>
          <w:numId w:val="1"/>
        </w:numPr>
      </w:pPr>
      <w:r>
        <w:t>Financial Records</w:t>
      </w:r>
    </w:p>
    <w:p w:rsidR="00127782" w:rsidRDefault="00127782" w:rsidP="00127782">
      <w:pPr>
        <w:pStyle w:val="ListParagraph"/>
        <w:numPr>
          <w:ilvl w:val="1"/>
          <w:numId w:val="1"/>
        </w:numPr>
      </w:pPr>
      <w:r>
        <w:t>General Correspondence</w:t>
      </w:r>
    </w:p>
    <w:p w:rsidR="00127782" w:rsidRDefault="00127782" w:rsidP="00127782">
      <w:pPr>
        <w:pStyle w:val="ListParagraph"/>
        <w:numPr>
          <w:ilvl w:val="1"/>
          <w:numId w:val="1"/>
        </w:numPr>
      </w:pPr>
      <w:r>
        <w:t>Membership Directories</w:t>
      </w:r>
    </w:p>
    <w:p w:rsidR="00127782" w:rsidRDefault="00127782" w:rsidP="00127782">
      <w:pPr>
        <w:pStyle w:val="ListParagraph"/>
        <w:numPr>
          <w:ilvl w:val="1"/>
          <w:numId w:val="1"/>
        </w:numPr>
      </w:pPr>
      <w:r>
        <w:t>Minutes – Committee Meetings</w:t>
      </w:r>
    </w:p>
    <w:p w:rsidR="00127782" w:rsidRDefault="00127782" w:rsidP="00127782">
      <w:pPr>
        <w:pStyle w:val="ListParagraph"/>
        <w:numPr>
          <w:ilvl w:val="1"/>
          <w:numId w:val="1"/>
        </w:numPr>
      </w:pPr>
      <w:r>
        <w:t>Minutes – Officers’/Executive Board Meetings</w:t>
      </w:r>
    </w:p>
    <w:p w:rsidR="00127782" w:rsidRDefault="00127782" w:rsidP="00127782">
      <w:pPr>
        <w:pStyle w:val="ListParagraph"/>
        <w:numPr>
          <w:ilvl w:val="1"/>
          <w:numId w:val="1"/>
        </w:numPr>
      </w:pPr>
      <w:r>
        <w:t>Publications: Brochures, General, Newsletters, Salary Surveys, Union Lists</w:t>
      </w:r>
    </w:p>
    <w:p w:rsidR="00127782" w:rsidRDefault="00127782" w:rsidP="00127782">
      <w:pPr>
        <w:pStyle w:val="ListParagraph"/>
        <w:numPr>
          <w:ilvl w:val="1"/>
          <w:numId w:val="1"/>
        </w:numPr>
      </w:pPr>
      <w:r>
        <w:t>Records of ABLL Educational Meetings (including correspondence)</w:t>
      </w:r>
    </w:p>
    <w:p w:rsidR="00127782" w:rsidRDefault="00127782" w:rsidP="00127782">
      <w:pPr>
        <w:pStyle w:val="ListParagraph"/>
        <w:numPr>
          <w:ilvl w:val="1"/>
          <w:numId w:val="1"/>
        </w:numPr>
      </w:pPr>
      <w:r>
        <w:t>Miscellaneous</w:t>
      </w:r>
    </w:p>
    <w:p w:rsidR="00127782" w:rsidRPr="007E5889" w:rsidRDefault="00127782" w:rsidP="00127782">
      <w:pPr>
        <w:pStyle w:val="ListParagraph"/>
        <w:rPr>
          <w:rFonts w:ascii="Arial" w:hAnsi="Arial" w:cs="Arial"/>
        </w:rPr>
      </w:pPr>
    </w:p>
    <w:sectPr w:rsidR="00127782" w:rsidRPr="007E5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B0C5A"/>
    <w:multiLevelType w:val="hybridMultilevel"/>
    <w:tmpl w:val="5E928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889"/>
    <w:rsid w:val="00127782"/>
    <w:rsid w:val="00195ABB"/>
    <w:rsid w:val="007E5889"/>
    <w:rsid w:val="00874440"/>
    <w:rsid w:val="00875BF0"/>
    <w:rsid w:val="009B01AE"/>
    <w:rsid w:val="00B072C3"/>
    <w:rsid w:val="00BC420C"/>
    <w:rsid w:val="00C833F5"/>
    <w:rsid w:val="00DD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889"/>
    <w:pPr>
      <w:ind w:left="720"/>
      <w:contextualSpacing/>
    </w:pPr>
  </w:style>
  <w:style w:type="character" w:styleId="Hyperlink">
    <w:name w:val="Hyperlink"/>
    <w:basedOn w:val="DefaultParagraphFont"/>
    <w:uiPriority w:val="99"/>
    <w:semiHidden/>
    <w:unhideWhenUsed/>
    <w:rsid w:val="007E58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889"/>
    <w:pPr>
      <w:ind w:left="720"/>
      <w:contextualSpacing/>
    </w:pPr>
  </w:style>
  <w:style w:type="character" w:styleId="Hyperlink">
    <w:name w:val="Hyperlink"/>
    <w:basedOn w:val="DefaultParagraphFont"/>
    <w:uiPriority w:val="99"/>
    <w:semiHidden/>
    <w:unhideWhenUsed/>
    <w:rsid w:val="007E58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715287">
      <w:bodyDiv w:val="1"/>
      <w:marLeft w:val="0"/>
      <w:marRight w:val="0"/>
      <w:marTop w:val="0"/>
      <w:marBottom w:val="0"/>
      <w:divBdr>
        <w:top w:val="none" w:sz="0" w:space="0" w:color="auto"/>
        <w:left w:val="none" w:sz="0" w:space="0" w:color="auto"/>
        <w:bottom w:val="none" w:sz="0" w:space="0" w:color="auto"/>
        <w:right w:val="none" w:sz="0" w:space="0" w:color="auto"/>
      </w:divBdr>
    </w:div>
    <w:div w:id="206093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grdSearchResults','Sort$C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javascript:__doPostBack('ctl00$MainContent$grdSearchResults','Sort$FE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__doPostBack('ctl00$MainContent$grdSearchResults','Sort$EntityName')" TargetMode="External"/><Relationship Id="rId11" Type="http://schemas.openxmlformats.org/officeDocument/2006/relationships/hyperlink" Target="http://www.sec.state.ma.us/cor/corpweb/cornp/npfrm.htm" TargetMode="External"/><Relationship Id="rId5" Type="http://schemas.openxmlformats.org/officeDocument/2006/relationships/webSettings" Target="webSettings.xml"/><Relationship Id="rId10" Type="http://schemas.openxmlformats.org/officeDocument/2006/relationships/hyperlink" Target="http://www.sec.state.ma.us/cor/corpweb/cornp/npfrm.htm" TargetMode="External"/><Relationship Id="rId4" Type="http://schemas.openxmlformats.org/officeDocument/2006/relationships/settings" Target="settings.xml"/><Relationship Id="rId9" Type="http://schemas.openxmlformats.org/officeDocument/2006/relationships/hyperlink" Target="javascript:__doPostBack('ctl00$MainContent$grdSearchResults','Sort$P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Leary</dc:creator>
  <cp:lastModifiedBy>Kirsten Leary</cp:lastModifiedBy>
  <cp:revision>4</cp:revision>
  <dcterms:created xsi:type="dcterms:W3CDTF">2017-08-22T15:00:00Z</dcterms:created>
  <dcterms:modified xsi:type="dcterms:W3CDTF">2017-08-22T16:28:00Z</dcterms:modified>
</cp:coreProperties>
</file>